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44"/>
          <w:szCs w:val="44"/>
        </w:rPr>
        <w:t xml:space="preserve">Shakespeare e la tragedia giacomiana</w:t>
      </w:r>
    </w:p>
    <w:p>
      <w:pPr>
        <w:spacing w:after="300"/>
        <w:jc w:val="center"/>
      </w:pPr>
      <w:r>
        <w:rPr>
          <w:i/>
          <w:iCs/>
          <w:color w:val="555555"/>
          <w:sz w:val="26"/>
          <w:szCs w:val="26"/>
        </w:rPr>
        <w:t xml:space="preserve">Come il teatro inglese raggiunse il proprio vertice tra Elisabetta I e Giacomo I</w:t>
      </w:r>
    </w:p>
    <w:p>
      <w:pPr>
        <w:pBdr>
          <w:bottom w:val="single" w:color="999999" w:sz="6" w:space="1"/>
        </w:pBdr>
        <w:spacing w:after="300"/>
      </w:pPr>
      <w:r>
        <w:t xml:space="preserve"/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Introduzione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Chiuso l'arco dedicato al Seicento italiano, apriamo ora un nuovo percorso, dedicato ai grandi classici europei del secolo: un secolo che, lungi dall'essere monopolio della sola Penisola, vede fiorire quasi contemporaneamente capolavori di statura equivalente in Inghilterra, Francia e Spagna. Apriamo questo arco con William Shakespeare (1564-1616), e non a caso: le sue tragedie maggiori, pur nascendo da una tradizione teatrale elisabettiana già pienamente rinascimentale, sono opere cronologicamente e tematicamente seicentesche, scritte fra il 1600 e il 1611, sotto il regno di Giacomo I piuttosto che sotto quello di Elisabetta I, e permeate da un pessimismo esistenziale e da una complessità morale che le proiettano ben oltre l'orizzonte del Rinascimento verso le inquietudini del secolo nuovo.</w:t>
      </w:r>
    </w:p>
    <w:p>
      <w:pPr>
        <w:pBdr>
          <w:bottom w:val="single" w:color="1f4e79" w:sz="8" w:space="8"/>
        </w:pBdr>
        <w:spacing w:after="300" w:before="500"/>
        <w:jc w:val="center"/>
      </w:pPr>
      <w:r>
        <w:rPr>
          <w:b/>
          <w:bCs/>
          <w:color w:val="1f4e79"/>
          <w:sz w:val="32"/>
          <w:szCs w:val="32"/>
        </w:rPr>
        <w:t xml:space="preserve">Parte prima: il contesto del teatro pubblico londinese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1. Il Globe e l'età dei teatri pubblici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Il teatro elisabettiano-giacomiano nasce come fenomeno commerciale e popolare prima ancora che letterario: a partire dagli anni 1570, Londra vede sorgere una serie di teatri pubblici a pagamento — il Theatre, il Rose, infine il celebre Globe, costruito nel 1599 dalla compagnia dei Lord Chamberlain's Men (poi King's Men sotto Giacomo I), di cui Shakespeare è attore-azionista oltre che autore. Si tratta di edifici a pianta circolare o poligonale, con un palco sporgente in mezzo a un pubblico eterogeneo di aristocratici e popolani, privi di scenografie elaborate e dipendenti quasi interamente dalla parola poetica per costruire luogo, tempo e atmosfera: una condizione produttiva che spiega la densità linguistica e immaginativa senza pari del teatro shakespeariano.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2. Fonti e tradizione: dalla tragedia di vendetta al teatro shakespeariano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Shakespeare non inventa dal nulla i propri generi: eredita dalla tragedia di vendetta elisabettiana (Thomas Kyd, </w:t>
      </w:r>
      <w:r>
        <w:rPr>
          <w:i/>
          <w:iCs/>
          <w:sz w:val="22"/>
          <w:szCs w:val="22"/>
        </w:rPr>
        <w:t xml:space="preserve">The Spanish Tragedy</w:t>
      </w:r>
      <w:r>
        <w:rPr>
          <w:sz w:val="22"/>
          <w:szCs w:val="22"/>
        </w:rPr>
        <w:t xml:space="preserve">) la struttura del delitto non vendicato, dalle cronache storiche inglesi e dalle fonti classiche (Plutarco, Seneca) il materiale per le tragedie romane, e da cronisti come Holinshed gli intrecci delle tragedie storiche e di </w:t>
      </w:r>
      <w:r>
        <w:rPr>
          <w:i/>
          <w:iCs/>
          <w:sz w:val="22"/>
          <w:szCs w:val="22"/>
        </w:rPr>
        <w:t xml:space="preserve">Macbeth</w:t>
      </w:r>
      <w:r>
        <w:rPr>
          <w:sz w:val="22"/>
          <w:szCs w:val="22"/>
        </w:rPr>
        <w:t xml:space="preserve">; ma trasforma ogni fonte attraverso un'invenzione linguistica e psicologica che resta ineguagliata, facendo del soliloquio — la voce del personaggio che pensa ad alta voce davanti al pubblico — lo strumento principale per esplorare la interiorità umana con una profondità sconosciuta al teatro precedente.</w:t>
      </w:r>
    </w:p>
    <w:p>
      <w:pPr>
        <w:pBdr>
          <w:bottom w:val="single" w:color="1f4e79" w:sz="8" w:space="8"/>
        </w:pBdr>
        <w:spacing w:after="300" w:before="500"/>
        <w:jc w:val="center"/>
      </w:pPr>
      <w:r>
        <w:rPr>
          <w:b/>
          <w:bCs/>
          <w:color w:val="1f4e79"/>
          <w:sz w:val="32"/>
          <w:szCs w:val="32"/>
        </w:rPr>
        <w:t xml:space="preserve">Parte seconda: le grandi tragedie giacomiane (1600-1606)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3. Hamlet (1600-1601): il dubbio e la vendetta rinviata</w:t>
      </w:r>
    </w:p>
    <w:p>
      <w:pPr>
        <w:spacing w:after="200" w:line="300"/>
        <w:jc w:val="both"/>
      </w:pPr>
      <w:r>
        <w:rPr>
          <w:i/>
          <w:iCs/>
          <w:sz w:val="22"/>
          <w:szCs w:val="22"/>
        </w:rPr>
        <w:t xml:space="preserve">Hamlet</w:t>
      </w:r>
      <w:r>
        <w:rPr>
          <w:sz w:val="22"/>
          <w:szCs w:val="22"/>
        </w:rPr>
        <w:t xml:space="preserve">, scritto a cavallo del nuovo secolo, mette in scena il principe di Danimarca chiamato a vendicare il padre assassinato dal fratello Claudio, ma paralizzato da un dubbio che la critica ha interpretato nei modi più diversi — filosofico, psicoanalitico, politico: «Essere o non essere» non è soltanto un interrogativo sulla vita e sulla morte, ma la cifra di un eroe che pensa troppo per agire con la prontezza richiesta dal genere della tragedia di vendetta, e che proprio in questo scarto fra pensiero e azione anticipa una sensibilità moderna. Il celebre dispositivo del "teatro nel teatro" — la compagnia di attori che rappresenta a corte un delitto speculare a quello di Claudio — rende inoltre </w:t>
      </w:r>
      <w:r>
        <w:rPr>
          <w:i/>
          <w:iCs/>
          <w:sz w:val="22"/>
          <w:szCs w:val="22"/>
        </w:rPr>
        <w:t xml:space="preserve">Hamlet</w:t>
      </w:r>
      <w:r>
        <w:rPr>
          <w:sz w:val="22"/>
          <w:szCs w:val="22"/>
        </w:rPr>
        <w:t xml:space="preserve"> una riflessione sulla finzione teatrale stessa.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4. Otello (1603): la manipolazione e la gelosia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In </w:t>
      </w:r>
      <w:r>
        <w:rPr>
          <w:i/>
          <w:iCs/>
          <w:sz w:val="22"/>
          <w:szCs w:val="22"/>
        </w:rPr>
        <w:t xml:space="preserve">Otello</w:t>
      </w:r>
      <w:r>
        <w:rPr>
          <w:sz w:val="22"/>
          <w:szCs w:val="22"/>
        </w:rPr>
        <w:t xml:space="preserve">, il generale moro al servizio di Venezia viene condotto da Iago, uno dei più raffinati manipolatori della letteratura occidentale, a dubitare della fedeltà della propria sposa Desdemona fino a uccidere lei e infine se stesso: la tragedia indaga con lucidità spietata i meccanismi della gelosia e della suggestione retorica, ma anche la condizione di estraneità sociale e razziale di Otello, "outsider" integrato ma mai del tutto accettato in una Venezia che lo celebra come condottiero e insieme lo guarda con sospetto, temi che hanno garantito all'opera una fortuna critica particolarmente intensa negli studi postcoloniali.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5. Re Lear (1605-1606): la cecità del potere e il nulla</w:t>
      </w:r>
    </w:p>
    <w:p>
      <w:pPr>
        <w:spacing w:after="200" w:line="300"/>
        <w:jc w:val="both"/>
      </w:pPr>
      <w:r>
        <w:rPr>
          <w:i/>
          <w:iCs/>
          <w:sz w:val="22"/>
          <w:szCs w:val="22"/>
        </w:rPr>
        <w:t xml:space="preserve">Re Lear</w:t>
      </w:r>
      <w:r>
        <w:rPr>
          <w:sz w:val="22"/>
          <w:szCs w:val="22"/>
        </w:rPr>
        <w:t xml:space="preserve">, forse la tragedia più cupa del canone shakespeariano, narra la rovina di un sovrano che, dividendo il regno fra le figlie in base a sfacciate dichiarazioni d'amore, caccia l'unica figlia sincera (Cordelia) per premiare le due ingrate e manipolatrici, scoprendo solo nella follia e nella nudità della tempesta in cui si perde il vero volto del potere e dei legami familiari: un tragico apprendimento che Shakespeare conduce fino a un epilogo di devastazione quasi totale, privo di qualunque consolazione, in cui il "nulla" evocato fin dalle prime scene diventa l'orizzonte metafisico di tutta l'opera.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6. Macbeth (1606): l'ambizione, il regicidio e le streghe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Scritto a pochi mesi dalla Congiura delle Polveri (1605) e dedicato implicitamente a lusingare Giacomo I — di cui le streghe profetizzano la stirpe regale tramite l'antenato Banquo — </w:t>
      </w:r>
      <w:r>
        <w:rPr>
          <w:i/>
          <w:iCs/>
          <w:sz w:val="22"/>
          <w:szCs w:val="22"/>
        </w:rPr>
        <w:t xml:space="preserve">Macbeth</w:t>
      </w:r>
      <w:r>
        <w:rPr>
          <w:sz w:val="22"/>
          <w:szCs w:val="22"/>
        </w:rPr>
        <w:t xml:space="preserve"> racconta l'ascesa e la rovina di un generale scozzese che, sospinto dalla propria ambizione e dalle manipolazioni di Lady Macbeth, uccide il re Duncan per usurparne il trono, sprofondando poi in una spirale di sangue, paranoia e rimorso che culmina nella celebre immagine delle mani che "tutto l'oceano non basterebbe a lavare": la tragedia più breve e più concentrata di Shakespeare, costruita come una macchina implacabile che trasforma il regicidio in autodistruzione psicologica.</w:t>
      </w:r>
    </w:p>
    <w:p>
      <w:pPr>
        <w:pBdr>
          <w:bottom w:val="single" w:color="1f4e79" w:sz="8" w:space="8"/>
        </w:pBdr>
        <w:spacing w:after="300" w:before="500"/>
        <w:jc w:val="center"/>
      </w:pPr>
      <w:r>
        <w:rPr>
          <w:b/>
          <w:bCs/>
          <w:color w:val="1f4e79"/>
          <w:sz w:val="32"/>
          <w:szCs w:val="32"/>
        </w:rPr>
        <w:t xml:space="preserve">Parte terza: l'ultimo Shakespeare e l'eredità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7. La tempesta (1611): il romance e l'addio al teatro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Nell'ultima fase della propria carriera Shakespeare abbandona la tragedia pura per il cosiddetto "romance", un genere che mescola elementi tragici e comici in una tonalità di riconciliazione finale: </w:t>
      </w:r>
      <w:r>
        <w:rPr>
          <w:i/>
          <w:iCs/>
          <w:sz w:val="22"/>
          <w:szCs w:val="22"/>
        </w:rPr>
        <w:t xml:space="preserve">La tempesta</w:t>
      </w:r>
      <w:r>
        <w:rPr>
          <w:sz w:val="22"/>
          <w:szCs w:val="22"/>
        </w:rPr>
        <w:t xml:space="preserve">, con il mago Prospero che dall'isola dove è stato esiliato orchestra il perdono dei propri nemici invece della vendetta, è stata letta tradizionalmente come un commiato simbolico dello stesso Shakespeare dal teatro, condensato nella celebre rinuncia di Prospero alla propria "arte" magica — una lettura suggestiva, anche se la critica più recente la considera con cautela.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8. Perché Shakespeare appartiene al Seicento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Collocare Shakespeare all'apertura di un arco dedicato ai classici europei del Seicento, piuttosto che a chiusura del Rinascimento, non è un arbitrio cronologico ma una scelta interpretativa: le sue tragedie maggiori nascono sotto un nuovo sovrano, in un clima culturale segnato da ansietà religiosa, instabilità dinastica e un pessimismo esistenziale che le allontanano dall'armonia relativamente più fiduciosa del pieno Rinascimento, collocandole piuttosto in dialogo con la crisi barocca che, parallelamente, investe l'Italia di Tesauro e Marino e che presto ritroveremo nella Spagna di Góngora e Calderón.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Conclusioni</w:t>
      </w:r>
    </w:p>
    <w:p>
      <w:pPr>
        <w:spacing w:after="200" w:line="300"/>
        <w:jc w:val="both"/>
      </w:pPr>
      <w:r>
        <w:rPr>
          <w:sz w:val="22"/>
          <w:szCs w:val="22"/>
        </w:rPr>
        <w:t xml:space="preserve">Con Shakespeare si apre dunque il nostro arco dedicato ai classici europei del Seicento: un autore che, pur radicato nella tradizione teatrale elisabettiana, scrive le proprie opere più grandi proprio negli anni di transizione al nuovo secolo, dando al teatro occidentale una profondità psicologica e linguistica che resterà un punto di riferimento ineludibile. Nel prossimo capitolo attraverseremo la Manica per affrontare la nascita del classicismo teatrale francese, con Corneille e la tragedia dell'eroismo.</w:t>
      </w:r>
    </w:p>
    <w:p>
      <w:pPr>
        <w:pBdr>
          <w:bottom w:val="single" w:color="1f4e79" w:sz="6" w:space="4"/>
        </w:pBdr>
        <w:spacing w:after="200" w:before="400"/>
      </w:pPr>
      <w:r>
        <w:rPr>
          <w:b/>
          <w:bCs/>
          <w:color w:val="1f4e79"/>
          <w:sz w:val="30"/>
          <w:szCs w:val="30"/>
        </w:rPr>
        <w:t xml:space="preserve">Bibliografia essenziale</w:t>
      </w:r>
    </w:p>
    <w:p>
      <w:pPr>
        <w:spacing w:after="160" w:line="280"/>
        <w:ind w:left="431" w:hanging="431"/>
        <w:jc w:val="both"/>
      </w:pPr>
      <w:r>
        <w:rPr>
          <w:sz w:val="22"/>
          <w:szCs w:val="22"/>
        </w:rPr>
        <w:t xml:space="preserve">Bloom, H., </w:t>
      </w:r>
      <w:r>
        <w:rPr>
          <w:i/>
          <w:iCs/>
          <w:sz w:val="22"/>
          <w:szCs w:val="22"/>
        </w:rPr>
        <w:t xml:space="preserve">Shakespeare: The Invention of the Human</w:t>
      </w:r>
      <w:r>
        <w:rPr>
          <w:sz w:val="22"/>
          <w:szCs w:val="22"/>
        </w:rPr>
        <w:t xml:space="preserve">, Riverhead Books, New York.</w:t>
      </w:r>
    </w:p>
    <w:p>
      <w:pPr>
        <w:spacing w:after="160" w:line="280"/>
        <w:ind w:left="431" w:hanging="431"/>
        <w:jc w:val="both"/>
      </w:pPr>
      <w:r>
        <w:rPr>
          <w:sz w:val="22"/>
          <w:szCs w:val="22"/>
        </w:rPr>
        <w:t xml:space="preserve">Greenblatt, S., </w:t>
      </w:r>
      <w:r>
        <w:rPr>
          <w:i/>
          <w:iCs/>
          <w:sz w:val="22"/>
          <w:szCs w:val="22"/>
        </w:rPr>
        <w:t xml:space="preserve">Will in the World: How Shakespeare Became Shakespeare</w:t>
      </w:r>
      <w:r>
        <w:rPr>
          <w:sz w:val="22"/>
          <w:szCs w:val="22"/>
        </w:rPr>
        <w:t xml:space="preserve">, Norton, New York.</w:t>
      </w:r>
    </w:p>
    <w:p>
      <w:pPr>
        <w:spacing w:after="160" w:line="280"/>
        <w:ind w:left="431" w:hanging="431"/>
        <w:jc w:val="both"/>
      </w:pPr>
      <w:r>
        <w:rPr>
          <w:sz w:val="22"/>
          <w:szCs w:val="22"/>
        </w:rPr>
        <w:t xml:space="preserve">Serpieri, A., </w:t>
      </w:r>
      <w:r>
        <w:rPr>
          <w:i/>
          <w:iCs/>
          <w:sz w:val="22"/>
          <w:szCs w:val="22"/>
        </w:rPr>
        <w:t xml:space="preserve">Retorica e immaginario</w:t>
      </w:r>
      <w:r>
        <w:rPr>
          <w:sz w:val="22"/>
          <w:szCs w:val="22"/>
        </w:rPr>
        <w:t xml:space="preserve">, Pratiche Editrice, Parma.</w:t>
      </w:r>
    </w:p>
    <w:p>
      <w:pPr>
        <w:spacing w:after="160" w:line="280"/>
        <w:ind w:left="431" w:hanging="431"/>
        <w:jc w:val="both"/>
      </w:pPr>
      <w:r>
        <w:rPr>
          <w:sz w:val="22"/>
          <w:szCs w:val="22"/>
        </w:rPr>
        <w:t xml:space="preserve">Melchiori, G., </w:t>
      </w:r>
      <w:r>
        <w:rPr>
          <w:i/>
          <w:iCs/>
          <w:sz w:val="22"/>
          <w:szCs w:val="22"/>
        </w:rPr>
        <w:t xml:space="preserve">Shakespeare</w:t>
      </w:r>
      <w:r>
        <w:rPr>
          <w:sz w:val="22"/>
          <w:szCs w:val="22"/>
        </w:rPr>
        <w:t xml:space="preserve">, Mondadori, Milano.</w:t>
      </w:r>
    </w:p>
    <w:p>
      <w:pPr>
        <w:spacing w:after="160" w:line="280"/>
        <w:ind w:left="431" w:hanging="431"/>
        <w:jc w:val="both"/>
      </w:pPr>
      <w:r>
        <w:rPr>
          <w:sz w:val="22"/>
          <w:szCs w:val="22"/>
        </w:rPr>
        <w:t xml:space="preserve">Kott, J., </w:t>
      </w:r>
      <w:r>
        <w:rPr>
          <w:i/>
          <w:iCs/>
          <w:sz w:val="22"/>
          <w:szCs w:val="22"/>
        </w:rPr>
        <w:t xml:space="preserve">Shakespeare nostro contemporaneo</w:t>
      </w:r>
      <w:r>
        <w:rPr>
          <w:sz w:val="22"/>
          <w:szCs w:val="22"/>
        </w:rPr>
        <w:t xml:space="preserve">, Feltrinelli, Milano.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2026-10-26T16:57:30.922Z</dcterms:created>
  <dcterms:modified xsi:type="dcterms:W3CDTF">2026-10-26T16:57:30.932Z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