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Racine e la tragedia della passione</w:t>
      </w:r>
    </w:p>
    <w:p>
      <w:pPr>
        <w:spacing w:after="300"/>
        <w:jc w:val="center"/>
      </w:pPr>
      <w:r>
        <w:rPr>
          <w:i/>
          <w:iCs/>
          <w:color w:val="555555"/>
          <w:sz w:val="26"/>
          <w:szCs w:val="26"/>
        </w:rPr>
        <w:t xml:space="preserve">Come Fedra portò il classicismo francese al proprio vertice</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Dopo Corneille e l'eroe della volontà, il nostro percorso attraverso i classici europei del Seicento incontra ora Jean Racine (1639-1699), il secondo grande tragediografo del classicismo francese e, per molti critici, il suo punto più alto: dove Corneille costruisce eroi capaci di dominare la passione attraverso la ragione, Racine mette in scena personaggi travolti da una passione che nessuna volontà riesce a contenere, in tragedie di una concentrazione formale e di un'intensità psicologica senza pari nel teatro classico europeo. </w:t>
      </w:r>
      <w:r>
        <w:rPr>
          <w:i/>
          <w:iCs/>
          <w:sz w:val="22"/>
          <w:szCs w:val="22"/>
        </w:rPr>
        <w:t xml:space="preserve">Phèdre</w:t>
      </w:r>
      <w:r>
        <w:rPr>
          <w:sz w:val="22"/>
          <w:szCs w:val="22"/>
        </w:rPr>
        <w:t xml:space="preserve"> (1677), la sua opera più celebre, ne è la realizzazione più compiuta.</w:t>
      </w:r>
    </w:p>
    <w:p>
      <w:pPr>
        <w:pBdr>
          <w:bottom w:val="single" w:color="1f4e79" w:sz="8" w:space="8"/>
        </w:pBdr>
        <w:spacing w:after="300" w:before="500"/>
        <w:jc w:val="center"/>
      </w:pPr>
      <w:r>
        <w:rPr>
          <w:b/>
          <w:bCs/>
          <w:color w:val="1f4e79"/>
          <w:sz w:val="32"/>
          <w:szCs w:val="32"/>
        </w:rPr>
        <w:t xml:space="preserve">Parte prima: la formazione e l'esordio</w:t>
      </w:r>
    </w:p>
    <w:p>
      <w:pPr>
        <w:pBdr>
          <w:bottom w:val="single" w:color="1f4e79" w:sz="6" w:space="4"/>
        </w:pBdr>
        <w:spacing w:after="200" w:before="400"/>
      </w:pPr>
      <w:r>
        <w:rPr>
          <w:b/>
          <w:bCs/>
          <w:color w:val="1f4e79"/>
          <w:sz w:val="30"/>
          <w:szCs w:val="30"/>
        </w:rPr>
        <w:t xml:space="preserve">1. Port-Royal e la formazione giansenista</w:t>
      </w:r>
    </w:p>
    <w:p>
      <w:pPr>
        <w:spacing w:after="200" w:line="300"/>
        <w:jc w:val="both"/>
      </w:pPr>
      <w:r>
        <w:rPr>
          <w:sz w:val="22"/>
          <w:szCs w:val="22"/>
        </w:rPr>
        <w:t xml:space="preserve">Racine viene educato nel collegio di Port-Royal-des-Champs, centro del giansenismo francese, una corrente religiosa rigorista che insegna una visione pessimistica della natura umana, corrotta dal peccato originale e incapace, senza la grazia divina, di dominare le proprie passioni: una formazione che segnerà profondamente la visione tragica di Racine, anche dopo il suo allontanamento (e il successivo riavvicinamento) da quell'ambiente.</w:t>
      </w:r>
    </w:p>
    <w:p>
      <w:pPr>
        <w:pBdr>
          <w:bottom w:val="single" w:color="1f4e79" w:sz="6" w:space="4"/>
        </w:pBdr>
        <w:spacing w:after="200" w:before="400"/>
      </w:pPr>
      <w:r>
        <w:rPr>
          <w:b/>
          <w:bCs/>
          <w:color w:val="1f4e79"/>
          <w:sz w:val="30"/>
          <w:szCs w:val="30"/>
        </w:rPr>
        <w:t xml:space="preserve">2. La rivalità con Corneille</w:t>
      </w:r>
    </w:p>
    <w:p>
      <w:pPr>
        <w:spacing w:after="200" w:line="300"/>
        <w:jc w:val="both"/>
      </w:pPr>
      <w:r>
        <w:rPr>
          <w:sz w:val="22"/>
          <w:szCs w:val="22"/>
        </w:rPr>
        <w:t xml:space="preserve">Esordendo negli anni 1660, Racine si impone rapidamente come il principale rivale del più anziano Corneille, incarnando un'idea di tragedia radicalmente diversa: azione ridotta all'essenziale, concentrazione quasi ossessiva sulla crisi interiore dei personaggi, e un verso alessandrino di straordinaria purezza e musicalità che diventerà il modello della poesia drammatica francese per i secoli successivi.</w:t>
      </w:r>
    </w:p>
    <w:p>
      <w:pPr>
        <w:pBdr>
          <w:bottom w:val="single" w:color="1f4e79" w:sz="8" w:space="8"/>
        </w:pBdr>
        <w:spacing w:after="300" w:before="500"/>
        <w:jc w:val="center"/>
      </w:pPr>
      <w:r>
        <w:rPr>
          <w:b/>
          <w:bCs/>
          <w:color w:val="1f4e79"/>
          <w:sz w:val="32"/>
          <w:szCs w:val="32"/>
        </w:rPr>
        <w:t xml:space="preserve">Parte seconda: Phèdre e il vertice della tragedia razziniana</w:t>
      </w:r>
    </w:p>
    <w:p>
      <w:pPr>
        <w:pBdr>
          <w:bottom w:val="single" w:color="1f4e79" w:sz="6" w:space="4"/>
        </w:pBdr>
        <w:spacing w:after="200" w:before="400"/>
      </w:pPr>
      <w:r>
        <w:rPr>
          <w:b/>
          <w:bCs/>
          <w:color w:val="1f4e79"/>
          <w:sz w:val="30"/>
          <w:szCs w:val="30"/>
        </w:rPr>
        <w:t xml:space="preserve">3. La trama: una passione incestuosa e fatale</w:t>
      </w:r>
    </w:p>
    <w:p>
      <w:pPr>
        <w:spacing w:after="200" w:line="300"/>
        <w:jc w:val="both"/>
      </w:pPr>
      <w:r>
        <w:rPr>
          <w:i/>
          <w:iCs/>
          <w:sz w:val="22"/>
          <w:szCs w:val="22"/>
        </w:rPr>
        <w:t xml:space="preserve">Phèdre</w:t>
      </w:r>
      <w:r>
        <w:rPr>
          <w:sz w:val="22"/>
          <w:szCs w:val="22"/>
        </w:rPr>
        <w:t xml:space="preserve">, ripresa dal mito greco già trattato da Euripide e Seneca, narra la passione incestuosa e non corrisposta della regina Fedra per il proprio figliastro Ippolito: una passione che Fedra stessa giudica mostruosa e da cui tenta disperatamente di liberarsi, ma che la trascina, attraverso un crescendo di menzogne e false accuse, fino alla morte di Ippolito e al proprio suicidio finale.</w:t>
      </w:r>
    </w:p>
    <w:p>
      <w:pPr>
        <w:pBdr>
          <w:bottom w:val="single" w:color="1f4e79" w:sz="6" w:space="4"/>
        </w:pBdr>
        <w:spacing w:after="200" w:before="400"/>
      </w:pPr>
      <w:r>
        <w:rPr>
          <w:b/>
          <w:bCs/>
          <w:color w:val="1f4e79"/>
          <w:sz w:val="30"/>
          <w:szCs w:val="30"/>
        </w:rPr>
        <w:t xml:space="preserve">4. La fatalità della passione e l'eredità giansenista</w:t>
      </w:r>
    </w:p>
    <w:p>
      <w:pPr>
        <w:spacing w:after="200" w:line="300"/>
        <w:jc w:val="both"/>
      </w:pPr>
      <w:r>
        <w:rPr>
          <w:sz w:val="22"/>
          <w:szCs w:val="22"/>
        </w:rPr>
        <w:t xml:space="preserve">A differenza dell'eroe cornelliano, capace di scegliere il dovere contro la passione, Fedra sperimenta la passione come una forza che la domina dall'esterno, quasi una maledizione divina (Racine insiste sul ruolo di Venere, che perseguita la stirpe di Fedra): un'immagine della condizione umana profondamente debitrice della visione giansenista della grazia negata, in cui la volontà umana, da sola, non basta a resistere al male che la abita.</w:t>
      </w:r>
    </w:p>
    <w:p>
      <w:pPr>
        <w:pBdr>
          <w:bottom w:val="single" w:color="1f4e79" w:sz="6" w:space="4"/>
        </w:pBdr>
        <w:spacing w:after="200" w:before="400"/>
      </w:pPr>
      <w:r>
        <w:rPr>
          <w:b/>
          <w:bCs/>
          <w:color w:val="1f4e79"/>
          <w:sz w:val="30"/>
          <w:szCs w:val="30"/>
        </w:rPr>
        <w:t xml:space="preserve">5. La lingua e la forma: l'alessandrino raciniano</w:t>
      </w:r>
    </w:p>
    <w:p>
      <w:pPr>
        <w:spacing w:after="200" w:line="300"/>
        <w:jc w:val="both"/>
      </w:pPr>
      <w:r>
        <w:rPr>
          <w:sz w:val="22"/>
          <w:szCs w:val="22"/>
        </w:rPr>
        <w:t xml:space="preserve">La forza di </w:t>
      </w:r>
      <w:r>
        <w:rPr>
          <w:i/>
          <w:iCs/>
          <w:sz w:val="22"/>
          <w:szCs w:val="22"/>
        </w:rPr>
        <w:t xml:space="preserve">Phèdre</w:t>
      </w:r>
      <w:r>
        <w:rPr>
          <w:sz w:val="22"/>
          <w:szCs w:val="22"/>
        </w:rPr>
        <w:t xml:space="preserve"> risiede anche, se non soprattutto, nella perfezione formale del verso: l'alessandrino di Racine, attraverso un lessico volutamente limitato e un controllo quasi geometrico della sintassi, raggiunge una tensione espressiva capace di rendere con pochissime parole stati emotivi di straordinaria violenza, in una tecnica che la critica ha spesso definito "classica" proprio per questo equilibrio fra economia dei mezzi e intensità del risultato.</w:t>
      </w:r>
    </w:p>
    <w:p>
      <w:pPr>
        <w:pBdr>
          <w:bottom w:val="single" w:color="1f4e79" w:sz="8" w:space="8"/>
        </w:pBdr>
        <w:spacing w:after="300" w:before="500"/>
        <w:jc w:val="center"/>
      </w:pPr>
      <w:r>
        <w:rPr>
          <w:b/>
          <w:bCs/>
          <w:color w:val="1f4e79"/>
          <w:sz w:val="32"/>
          <w:szCs w:val="32"/>
        </w:rPr>
        <w:t xml:space="preserve">Parte terza: dopo Phèdre, il silenzio e l'eredità</w:t>
      </w:r>
    </w:p>
    <w:p>
      <w:pPr>
        <w:pBdr>
          <w:bottom w:val="single" w:color="1f4e79" w:sz="6" w:space="4"/>
        </w:pBdr>
        <w:spacing w:after="200" w:before="400"/>
      </w:pPr>
      <w:r>
        <w:rPr>
          <w:b/>
          <w:bCs/>
          <w:color w:val="1f4e79"/>
          <w:sz w:val="30"/>
          <w:szCs w:val="30"/>
        </w:rPr>
        <w:t xml:space="preserve">6. Il ritiro dal teatro e il ritorno religioso</w:t>
      </w:r>
    </w:p>
    <w:p>
      <w:pPr>
        <w:spacing w:after="200" w:line="300"/>
        <w:jc w:val="both"/>
      </w:pPr>
      <w:r>
        <w:rPr>
          <w:sz w:val="22"/>
          <w:szCs w:val="22"/>
        </w:rPr>
        <w:t xml:space="preserve">Dopo il relativo insuccesso iniziale di </w:t>
      </w:r>
      <w:r>
        <w:rPr>
          <w:i/>
          <w:iCs/>
          <w:sz w:val="22"/>
          <w:szCs w:val="22"/>
        </w:rPr>
        <w:t xml:space="preserve">Phèdre</w:t>
      </w:r>
      <w:r>
        <w:rPr>
          <w:sz w:val="22"/>
          <w:szCs w:val="22"/>
        </w:rPr>
        <w:t xml:space="preserve"> presso il pubblico (eclissata da una tragedia rivale di minor valore ma più favorita dalla cabala di corte) Racine si ritira quasi completamente dal teatro profano, riavvicinandosi a Port-Royal e dedicandosi, negli ultimi anni, a due tragedie di soggetto biblico scritte su commissione, </w:t>
      </w:r>
      <w:r>
        <w:rPr>
          <w:i/>
          <w:iCs/>
          <w:sz w:val="22"/>
          <w:szCs w:val="22"/>
        </w:rPr>
        <w:t xml:space="preserve">Esther</w:t>
      </w:r>
      <w:r>
        <w:rPr>
          <w:sz w:val="22"/>
          <w:szCs w:val="22"/>
        </w:rPr>
        <w:t xml:space="preserve"> e </w:t>
      </w:r>
      <w:r>
        <w:rPr>
          <w:i/>
          <w:iCs/>
          <w:sz w:val="22"/>
          <w:szCs w:val="22"/>
        </w:rPr>
        <w:t xml:space="preserve">Athalie</w:t>
      </w:r>
      <w:r>
        <w:rPr>
          <w:sz w:val="22"/>
          <w:szCs w:val="22"/>
        </w:rPr>
        <w:t xml:space="preserve">, pensate per le educande della scuola di Saint-Cyr fondata da Madame de Maintenon.</w:t>
      </w:r>
    </w:p>
    <w:p>
      <w:pPr>
        <w:pBdr>
          <w:bottom w:val="single" w:color="1f4e79" w:sz="6" w:space="4"/>
        </w:pBdr>
        <w:spacing w:after="200" w:before="400"/>
      </w:pPr>
      <w:r>
        <w:rPr>
          <w:b/>
          <w:bCs/>
          <w:color w:val="1f4e79"/>
          <w:sz w:val="30"/>
          <w:szCs w:val="30"/>
        </w:rPr>
        <w:t xml:space="preserve">7. Corneille e Racine: due modelli di classicismo a confronto</w:t>
      </w:r>
    </w:p>
    <w:p>
      <w:pPr>
        <w:spacing w:after="200" w:line="300"/>
        <w:jc w:val="both"/>
      </w:pPr>
      <w:r>
        <w:rPr>
          <w:sz w:val="22"/>
          <w:szCs w:val="22"/>
        </w:rPr>
        <w:t xml:space="preserve">Mettendo a confronto i due grandi tragediografi del classicismo francese emergono due concezioni dell'uomo radicalmente diverse mascherate da un'identica adesione alle regole formali: l'ottimismo antropologico di Corneille, che crede nella capacità della volontà umana di dominare la passione attraverso la ragione, e il pessimismo di Racine, per cui la passione resta una forza quasi sempre più forte della ragione — una polarità che continuerà a strutturare la riflessione sulla tragedia occidentale ben oltre il Seicento francese.</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Racine il classicismo teatrale francese raggiunge dunque il proprio vertice espressivo, portando a compimento, in direzione opposta a quella di Corneille, lo stesso sistema di regole formali instaurato da </w:t>
      </w:r>
      <w:r>
        <w:rPr>
          <w:i/>
          <w:iCs/>
          <w:sz w:val="22"/>
          <w:szCs w:val="22"/>
        </w:rPr>
        <w:t xml:space="preserve">Le Cid</w:t>
      </w:r>
      <w:r>
        <w:rPr>
          <w:sz w:val="22"/>
          <w:szCs w:val="22"/>
        </w:rPr>
        <w:t xml:space="preserve">. Nel prossimo capitolo lasceremo la tragedia per la commedia, con Molière e il suo sguardo impietoso sulla società del Grand Siècle.</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Barthes, R., </w:t>
      </w:r>
      <w:r>
        <w:rPr>
          <w:i/>
          <w:iCs/>
          <w:sz w:val="22"/>
          <w:szCs w:val="22"/>
        </w:rPr>
        <w:t xml:space="preserve">Sur Racine</w:t>
      </w:r>
      <w:r>
        <w:rPr>
          <w:sz w:val="22"/>
          <w:szCs w:val="22"/>
        </w:rPr>
        <w:t xml:space="preserve">, Seuil, Paris.</w:t>
      </w:r>
    </w:p>
    <w:p>
      <w:pPr>
        <w:spacing w:after="160" w:line="280"/>
        <w:ind w:left="431" w:hanging="431"/>
        <w:jc w:val="both"/>
      </w:pPr>
      <w:r>
        <w:rPr>
          <w:sz w:val="22"/>
          <w:szCs w:val="22"/>
        </w:rPr>
        <w:t xml:space="preserve">Goldmann, L., </w:t>
      </w:r>
      <w:r>
        <w:rPr>
          <w:i/>
          <w:iCs/>
          <w:sz w:val="22"/>
          <w:szCs w:val="22"/>
        </w:rPr>
        <w:t xml:space="preserve">Le Dieu caché: étude sur la vision tragique dans les Pensées de Pascal et dans le théâtre de Racine</w:t>
      </w:r>
      <w:r>
        <w:rPr>
          <w:sz w:val="22"/>
          <w:szCs w:val="22"/>
        </w:rPr>
        <w:t xml:space="preserve">, Gallimard, Paris.</w:t>
      </w:r>
    </w:p>
    <w:p>
      <w:pPr>
        <w:spacing w:after="160" w:line="280"/>
        <w:ind w:left="431" w:hanging="431"/>
        <w:jc w:val="both"/>
      </w:pPr>
      <w:r>
        <w:rPr>
          <w:sz w:val="22"/>
          <w:szCs w:val="22"/>
        </w:rPr>
        <w:t xml:space="preserve">Forestier, G., </w:t>
      </w:r>
      <w:r>
        <w:rPr>
          <w:i/>
          <w:iCs/>
          <w:sz w:val="22"/>
          <w:szCs w:val="22"/>
        </w:rPr>
        <w:t xml:space="preserve">Jean Racine</w:t>
      </w:r>
      <w:r>
        <w:rPr>
          <w:sz w:val="22"/>
          <w:szCs w:val="22"/>
        </w:rPr>
        <w:t xml:space="preserve">, Gallimard, Paris.</w:t>
      </w:r>
    </w:p>
    <w:p>
      <w:pPr>
        <w:spacing w:after="160" w:line="280"/>
        <w:ind w:left="431" w:hanging="431"/>
        <w:jc w:val="both"/>
      </w:pPr>
      <w:r>
        <w:rPr>
          <w:sz w:val="22"/>
          <w:szCs w:val="22"/>
        </w:rPr>
        <w:t xml:space="preserve">Starobinski, J., </w:t>
      </w:r>
      <w:r>
        <w:rPr>
          <w:i/>
          <w:iCs/>
          <w:sz w:val="22"/>
          <w:szCs w:val="22"/>
        </w:rPr>
        <w:t xml:space="preserve">L'oeil vivant</w:t>
      </w:r>
      <w:r>
        <w:rPr>
          <w:sz w:val="22"/>
          <w:szCs w:val="22"/>
        </w:rPr>
        <w:t xml:space="preserve">, Gallimard, Paris.</w:t>
      </w:r>
    </w:p>
    <w:p>
      <w:pPr>
        <w:spacing w:after="160" w:line="280"/>
        <w:ind w:left="431" w:hanging="431"/>
        <w:jc w:val="both"/>
      </w:pPr>
      <w:r>
        <w:rPr>
          <w:sz w:val="22"/>
          <w:szCs w:val="22"/>
        </w:rPr>
        <w:t xml:space="preserve">Scherer, J., </w:t>
      </w:r>
      <w:r>
        <w:rPr>
          <w:i/>
          <w:iCs/>
          <w:sz w:val="22"/>
          <w:szCs w:val="22"/>
        </w:rPr>
        <w:t xml:space="preserve">Racine et/ou la cérémonie</w:t>
      </w:r>
      <w:r>
        <w:rPr>
          <w:sz w:val="22"/>
          <w:szCs w:val="22"/>
        </w:rPr>
        <w:t xml:space="preserve">, Presses Universitaires de France, Paris.</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2026-10-26T17:20:16.049Z</dcterms:created>
  <dcterms:modified xsi:type="dcterms:W3CDTF">2026-10-26T17:20:16.050Z</dcterms:modified>
</cp:coreProperties>
</file>

<file path=docProps/custom.xml><?xml version="1.0" encoding="utf-8"?>
<Properties xmlns="http://schemas.openxmlformats.org/officeDocument/2006/custom-properties" xmlns:vt="http://schemas.openxmlformats.org/officeDocument/2006/docPropsVTypes"/>
</file>