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44"/>
          <w:szCs w:val="44"/>
        </w:rPr>
        <w:t xml:space="preserve">La Fontaine e la favola morale</w:t>
      </w:r>
    </w:p>
    <w:p>
      <w:pPr>
        <w:spacing w:after="300"/>
        <w:jc w:val="center"/>
      </w:pPr>
      <w:r>
        <w:rPr>
          <w:i/>
          <w:iCs/>
          <w:color w:val="555555"/>
          <w:sz w:val="26"/>
          <w:szCs w:val="26"/>
        </w:rPr>
        <w:t xml:space="preserve">Come un genere minore divenne un classico della letteratura francese</w:t>
      </w:r>
    </w:p>
    <w:p>
      <w:pPr>
        <w:pBdr>
          <w:bottom w:val="single" w:color="999999" w:sz="6" w:space="1"/>
        </w:pBdr>
        <w:spacing w:after="300"/>
      </w:pPr>
      <w:r>
        <w:t xml:space="preserve"/>
      </w:r>
    </w:p>
    <w:p>
      <w:pPr>
        <w:pBdr>
          <w:bottom w:val="single" w:color="1f4e79" w:sz="6" w:space="4"/>
        </w:pBdr>
        <w:spacing w:after="200" w:before="400"/>
      </w:pPr>
      <w:r>
        <w:rPr>
          <w:b/>
          <w:bCs/>
          <w:color w:val="1f4e79"/>
          <w:sz w:val="30"/>
          <w:szCs w:val="30"/>
        </w:rPr>
        <w:t xml:space="preserve">Introduzione</w:t>
      </w:r>
    </w:p>
    <w:p>
      <w:pPr>
        <w:spacing w:after="200" w:line="300"/>
        <w:jc w:val="both"/>
      </w:pPr>
      <w:r>
        <w:rPr>
          <w:sz w:val="22"/>
          <w:szCs w:val="22"/>
        </w:rPr>
        <w:t xml:space="preserve">Dopo la tragedia di Corneille e Racine e la commedia di Molière, il nostro arco sui classici europei del Seicento incontra ora un genere ancora diverso, tradizionalmente considerato fra i più modesti nella gerarchia classicista: la favola. Jean de La Fontaine (1621-1695), pubblicando fra il 1668 e il 1694 le proprie </w:t>
      </w:r>
      <w:r>
        <w:rPr>
          <w:i/>
          <w:iCs/>
          <w:sz w:val="22"/>
          <w:szCs w:val="22"/>
        </w:rPr>
        <w:t xml:space="preserve">Fables</w:t>
      </w:r>
      <w:r>
        <w:rPr>
          <w:sz w:val="22"/>
          <w:szCs w:val="22"/>
        </w:rPr>
        <w:t xml:space="preserve">, eleva questo genere didattico di origine antichissima a capolavoro della letteratura francese, dimostrando che la perfezione formale e l'acutezza morale non sono prerogativa esclusiva della tragedia.</w:t>
      </w:r>
    </w:p>
    <w:p>
      <w:pPr>
        <w:pBdr>
          <w:bottom w:val="single" w:color="1f4e79" w:sz="8" w:space="8"/>
        </w:pBdr>
        <w:spacing w:after="300" w:before="500"/>
        <w:jc w:val="center"/>
      </w:pPr>
      <w:r>
        <w:rPr>
          <w:b/>
          <w:bCs/>
          <w:color w:val="1f4e79"/>
          <w:sz w:val="32"/>
          <w:szCs w:val="32"/>
        </w:rPr>
        <w:t xml:space="preserve">Parte prima: un genere antico, un autore anomalo</w:t>
      </w:r>
    </w:p>
    <w:p>
      <w:pPr>
        <w:pBdr>
          <w:bottom w:val="single" w:color="1f4e79" w:sz="6" w:space="4"/>
        </w:pBdr>
        <w:spacing w:after="200" w:before="400"/>
      </w:pPr>
      <w:r>
        <w:rPr>
          <w:b/>
          <w:bCs/>
          <w:color w:val="1f4e79"/>
          <w:sz w:val="30"/>
          <w:szCs w:val="30"/>
        </w:rPr>
        <w:t xml:space="preserve">1. Esopo, Fedro e la tradizione favolistica</w:t>
      </w:r>
    </w:p>
    <w:p>
      <w:pPr>
        <w:spacing w:after="200" w:line="300"/>
        <w:jc w:val="both"/>
      </w:pPr>
      <w:r>
        <w:rPr>
          <w:sz w:val="22"/>
          <w:szCs w:val="22"/>
        </w:rPr>
        <w:t xml:space="preserve">La favola come genere letterario affonda le proprie radici nell'antichità greca, con la figura semileggendaria di Esopo, e nella sua ripresa latina da parte di Fedro, liberto di Augusto: un genere che affida ad animali parlanti, in brevi racconti dall'andamento narrativo essenziale, l'esposizione di una morale pratica rivolta tanto ai potenti quanto ai semplici, e che prima di La Fontaine era considerato materiale per l'educazione dei fanciulli più che un genere letterario di alto rango.</w:t>
      </w:r>
    </w:p>
    <w:p>
      <w:pPr>
        <w:pBdr>
          <w:bottom w:val="single" w:color="1f4e79" w:sz="6" w:space="4"/>
        </w:pBdr>
        <w:spacing w:after="200" w:before="400"/>
      </w:pPr>
      <w:r>
        <w:rPr>
          <w:b/>
          <w:bCs/>
          <w:color w:val="1f4e79"/>
          <w:sz w:val="30"/>
          <w:szCs w:val="30"/>
        </w:rPr>
        <w:t xml:space="preserve">2. Un cortigiano anomalo e la protezione di Fouquet</w:t>
      </w:r>
    </w:p>
    <w:p>
      <w:pPr>
        <w:spacing w:after="200" w:line="300"/>
        <w:jc w:val="both"/>
      </w:pPr>
      <w:r>
        <w:rPr>
          <w:sz w:val="22"/>
          <w:szCs w:val="22"/>
        </w:rPr>
        <w:t xml:space="preserve">La Fontaine conduce una carriera atipica rispetto ai propri contemporanei: incapace di adattarsi del tutto alla disciplina della vita di corte, deve gran parte della propria fortuna alla protezione di una serie di mecenati, fra cui il sovrintendente alle finanze Nicolas Fouquet, la cui caduta in disgrazia nel 1661 (e il successivo processo, a cui La Fontaine resterà fedele in versi di aperta solidarietà) segnerà profondamente la sua visione, assai meno ingenua di quanto la materia animale delle favole potrebbe far supporre, dei rapporti di potere e della fragilità della fortuna cortigiana.</w:t>
      </w:r>
    </w:p>
    <w:p>
      <w:pPr>
        <w:pBdr>
          <w:bottom w:val="single" w:color="1f4e79" w:sz="8" w:space="8"/>
        </w:pBdr>
        <w:spacing w:after="300" w:before="500"/>
        <w:jc w:val="center"/>
      </w:pPr>
      <w:r>
        <w:rPr>
          <w:b/>
          <w:bCs/>
          <w:color w:val="1f4e79"/>
          <w:sz w:val="32"/>
          <w:szCs w:val="32"/>
        </w:rPr>
        <w:t xml:space="preserve">Parte seconda: le Fables e la loro arte</w:t>
      </w:r>
    </w:p>
    <w:p>
      <w:pPr>
        <w:pBdr>
          <w:bottom w:val="single" w:color="1f4e79" w:sz="6" w:space="4"/>
        </w:pBdr>
        <w:spacing w:after="200" w:before="400"/>
      </w:pPr>
      <w:r>
        <w:rPr>
          <w:b/>
          <w:bCs/>
          <w:color w:val="1f4e79"/>
          <w:sz w:val="30"/>
          <w:szCs w:val="30"/>
        </w:rPr>
        <w:t xml:space="preserve">3. La struttura delle Fables: dodici libri in tre raccolte</w:t>
      </w:r>
    </w:p>
    <w:p>
      <w:pPr>
        <w:spacing w:after="200" w:line="300"/>
        <w:jc w:val="both"/>
      </w:pPr>
      <w:r>
        <w:rPr>
          <w:sz w:val="22"/>
          <w:szCs w:val="22"/>
        </w:rPr>
        <w:t xml:space="preserve">Le </w:t>
      </w:r>
      <w:r>
        <w:rPr>
          <w:i/>
          <w:iCs/>
          <w:sz w:val="22"/>
          <w:szCs w:val="22"/>
        </w:rPr>
        <w:t xml:space="preserve">Fables</w:t>
      </w:r>
      <w:r>
        <w:rPr>
          <w:sz w:val="22"/>
          <w:szCs w:val="22"/>
        </w:rPr>
        <w:t xml:space="preserve"> vengono pubblicate in tre tempi distinti — i primi sei libri nel 1668, dedicati al Delfino di Francia; una seconda raccolta (libri 7-11) nel 1678-79, dedicata a Madame de Montespan; infine il dodicesimo libro nel 1694, dedicato al duca di Borgogna — un arco di oltre venticinque anni che mostra un progressivo affinamento tanto della tecnica versificatoria quanto della complessità morale e politica delle favole stesse.</w:t>
      </w:r>
    </w:p>
    <w:p>
      <w:pPr>
        <w:pBdr>
          <w:bottom w:val="single" w:color="1f4e79" w:sz="6" w:space="4"/>
        </w:pBdr>
        <w:spacing w:after="200" w:before="400"/>
      </w:pPr>
      <w:r>
        <w:rPr>
          <w:b/>
          <w:bCs/>
          <w:color w:val="1f4e79"/>
          <w:sz w:val="30"/>
          <w:szCs w:val="30"/>
        </w:rPr>
        <w:t xml:space="preserve">4. Il bestiario morale: potere, astuzia e giustizia</w:t>
      </w:r>
    </w:p>
    <w:p>
      <w:pPr>
        <w:spacing w:after="200" w:line="300"/>
        <w:jc w:val="both"/>
      </w:pPr>
      <w:r>
        <w:rPr>
          <w:sz w:val="22"/>
          <w:szCs w:val="22"/>
        </w:rPr>
        <w:t xml:space="preserve">Attraverso un bestiario che include il lupo e l'agnello, la volpe e il corvo, la cicala e la formica, La Fontaine costruisce una rappresentazione impietosa dei rapporti di forza della società umana, mascherata dalla favola animale: il potere del più forte si impone quasi sempre sul più debole (ne </w:t>
      </w:r>
      <w:r>
        <w:rPr>
          <w:i/>
          <w:iCs/>
          <w:sz w:val="22"/>
          <w:szCs w:val="22"/>
        </w:rPr>
        <w:t xml:space="preserve">Il lupo e l'agnello</w:t>
      </w:r>
      <w:r>
        <w:rPr>
          <w:sz w:val="22"/>
          <w:szCs w:val="22"/>
        </w:rPr>
        <w:t xml:space="preserve"> la celebre morale recita che «la ragione del più forte è sempre la migliore»), l'astuzia prevale sull'ingenuità, e la giustizia appare spesso più come un ideale desiderato che come una realtà effettivamente osservabile nel mondo degli uomini come in quello degli animali.</w:t>
      </w:r>
    </w:p>
    <w:p>
      <w:pPr>
        <w:pBdr>
          <w:bottom w:val="single" w:color="1f4e79" w:sz="6" w:space="4"/>
        </w:pBdr>
        <w:spacing w:after="200" w:before="400"/>
      </w:pPr>
      <w:r>
        <w:rPr>
          <w:b/>
          <w:bCs/>
          <w:color w:val="1f4e79"/>
          <w:sz w:val="30"/>
          <w:szCs w:val="30"/>
        </w:rPr>
        <w:t xml:space="preserve">5. Uno stile di straordinaria libertà metrica</w:t>
      </w:r>
    </w:p>
    <w:p>
      <w:pPr>
        <w:spacing w:after="200" w:line="300"/>
        <w:jc w:val="both"/>
      </w:pPr>
      <w:r>
        <w:rPr>
          <w:sz w:val="22"/>
          <w:szCs w:val="22"/>
        </w:rPr>
        <w:t xml:space="preserve">A differenza della rigidità dell'alessandrino tragico, La Fontaine adotta per le proprie favole il "vers libre classique", una versificazione che alterna liberamente metri diversi (dal verso di tre sillabe al dodecasillabo) secondo le esigenze del racconto e del ritmo narrativo: una libertà formale che permette a La Fontaine di imitare con straordinaria efficacia il tono parlato, l'ironia sottile e i cambi di registro necessari a un genere che deve insieme divertire e istruire.</w:t>
      </w:r>
    </w:p>
    <w:p>
      <w:pPr>
        <w:pBdr>
          <w:bottom w:val="single" w:color="1f4e79" w:sz="8" w:space="8"/>
        </w:pBdr>
        <w:spacing w:after="300" w:before="500"/>
        <w:jc w:val="center"/>
      </w:pPr>
      <w:r>
        <w:rPr>
          <w:b/>
          <w:bCs/>
          <w:color w:val="1f4e79"/>
          <w:sz w:val="32"/>
          <w:szCs w:val="32"/>
        </w:rPr>
        <w:t xml:space="preserve">Parte terza: eredità e bilancio dell'arco francese</w:t>
      </w:r>
    </w:p>
    <w:p>
      <w:pPr>
        <w:pBdr>
          <w:bottom w:val="single" w:color="1f4e79" w:sz="6" w:space="4"/>
        </w:pBdr>
        <w:spacing w:after="200" w:before="400"/>
      </w:pPr>
      <w:r>
        <w:rPr>
          <w:b/>
          <w:bCs/>
          <w:color w:val="1f4e79"/>
          <w:sz w:val="30"/>
          <w:szCs w:val="30"/>
        </w:rPr>
        <w:t xml:space="preserve">6. La Fontaine fra i moralisti del Grand Siècle</w:t>
      </w:r>
    </w:p>
    <w:p>
      <w:pPr>
        <w:spacing w:after="200" w:line="300"/>
        <w:jc w:val="both"/>
      </w:pPr>
      <w:r>
        <w:rPr>
          <w:sz w:val="22"/>
          <w:szCs w:val="22"/>
        </w:rPr>
        <w:t xml:space="preserve">Insieme a La Rochefoucauld e La Bruyère, La Fontaine appartiene alla grande stagione dei moralisti francesi del secondo Seicento, autori che, pur attraverso generi diversissimi (la massima, il "carattere", la favola), condividono un identico sguardo disincantato sulla natura umana e sui meccanismi della società cortigiana, mettendo in discussione, da posizioni diverse, l'ottimismo antropologico ufficiale della Francia di Luigi XIV.</w:t>
      </w:r>
    </w:p>
    <w:p>
      <w:pPr>
        <w:pBdr>
          <w:bottom w:val="single" w:color="1f4e79" w:sz="6" w:space="4"/>
        </w:pBdr>
        <w:spacing w:after="200" w:before="400"/>
      </w:pPr>
      <w:r>
        <w:rPr>
          <w:b/>
          <w:bCs/>
          <w:color w:val="1f4e79"/>
          <w:sz w:val="30"/>
          <w:szCs w:val="30"/>
        </w:rPr>
        <w:t xml:space="preserve">7. Bilancio dell'arco: Francia, un secolo di generi diversi e complementari</w:t>
      </w:r>
    </w:p>
    <w:p>
      <w:pPr>
        <w:spacing w:after="200" w:line="300"/>
        <w:jc w:val="both"/>
      </w:pPr>
      <w:r>
        <w:rPr>
          <w:sz w:val="22"/>
          <w:szCs w:val="22"/>
        </w:rPr>
        <w:t xml:space="preserve">Ripercorrendo l'intero arco francese di questo nostro percorso — la tragedia dell'eroismo di Corneille, la tragedia della passione di Racine, la commedia dei costumi di Molière, infine la favola morale di La Fontaine — emerge il ritratto di un secolo capace di eccellere, sotto l'egida di un unico sistema di regole classiciste, in generi fra loro assai diversi, tutti accomunati da un'analisi acutissima della natura umana condotta attraverso la perfezione della forma.</w:t>
      </w:r>
    </w:p>
    <w:p>
      <w:pPr>
        <w:pBdr>
          <w:bottom w:val="single" w:color="1f4e79" w:sz="6" w:space="4"/>
        </w:pBdr>
        <w:spacing w:after="200" w:before="400"/>
      </w:pPr>
      <w:r>
        <w:rPr>
          <w:b/>
          <w:bCs/>
          <w:color w:val="1f4e79"/>
          <w:sz w:val="30"/>
          <w:szCs w:val="30"/>
        </w:rPr>
        <w:t xml:space="preserve">Conclusioni</w:t>
      </w:r>
    </w:p>
    <w:p>
      <w:pPr>
        <w:spacing w:after="200" w:line="300"/>
        <w:jc w:val="both"/>
      </w:pPr>
      <w:r>
        <w:rPr>
          <w:sz w:val="22"/>
          <w:szCs w:val="22"/>
        </w:rPr>
        <w:t xml:space="preserve">Con La Fontaine si chiude il nostro percorso attraverso il classicismo francese del Seicento: un genere minore, la favola, trasformato in un classico assoluto grazie a un'intelligenza morale e a una maestria formale che ne hanno garantito una fortuna ininterrotta, anche presso il pubblico dei bambini, fino ai giorni nostri. Nel prossimo capitolo lasceremo la Francia per la Spagna del Siglo de Oro, con Góngora e Quevedo e le due anime della poesia barocca spagnola.</w:t>
      </w:r>
    </w:p>
    <w:p>
      <w:pPr>
        <w:pBdr>
          <w:bottom w:val="single" w:color="1f4e79" w:sz="6" w:space="4"/>
        </w:pBdr>
        <w:spacing w:after="200" w:before="400"/>
      </w:pPr>
      <w:r>
        <w:rPr>
          <w:b/>
          <w:bCs/>
          <w:color w:val="1f4e79"/>
          <w:sz w:val="30"/>
          <w:szCs w:val="30"/>
        </w:rPr>
        <w:t xml:space="preserve">Bibliografia essenziale</w:t>
      </w:r>
    </w:p>
    <w:p>
      <w:pPr>
        <w:spacing w:after="160" w:line="280"/>
        <w:ind w:left="431" w:hanging="431"/>
        <w:jc w:val="both"/>
      </w:pPr>
      <w:r>
        <w:rPr>
          <w:sz w:val="22"/>
          <w:szCs w:val="22"/>
        </w:rPr>
        <w:t xml:space="preserve">Collinet, J.-P., </w:t>
      </w:r>
      <w:r>
        <w:rPr>
          <w:i/>
          <w:iCs/>
          <w:sz w:val="22"/>
          <w:szCs w:val="22"/>
        </w:rPr>
        <w:t xml:space="preserve">Le monde littéraire de La Fontaine</w:t>
      </w:r>
      <w:r>
        <w:rPr>
          <w:sz w:val="22"/>
          <w:szCs w:val="22"/>
        </w:rPr>
        <w:t xml:space="preserve">, Presses Universitaires de France, Paris.</w:t>
      </w:r>
    </w:p>
    <w:p>
      <w:pPr>
        <w:spacing w:after="160" w:line="280"/>
        <w:ind w:left="431" w:hanging="431"/>
        <w:jc w:val="both"/>
      </w:pPr>
      <w:r>
        <w:rPr>
          <w:sz w:val="22"/>
          <w:szCs w:val="22"/>
        </w:rPr>
        <w:t xml:space="preserve">Dandrey, P., </w:t>
      </w:r>
      <w:r>
        <w:rPr>
          <w:i/>
          <w:iCs/>
          <w:sz w:val="22"/>
          <w:szCs w:val="22"/>
        </w:rPr>
        <w:t xml:space="preserve">La Fabrique des Fables</w:t>
      </w:r>
      <w:r>
        <w:rPr>
          <w:sz w:val="22"/>
          <w:szCs w:val="22"/>
        </w:rPr>
        <w:t xml:space="preserve">, Klincksieck, Paris.</w:t>
      </w:r>
    </w:p>
    <w:p>
      <w:pPr>
        <w:spacing w:after="160" w:line="280"/>
        <w:ind w:left="431" w:hanging="431"/>
        <w:jc w:val="both"/>
      </w:pPr>
      <w:r>
        <w:rPr>
          <w:sz w:val="22"/>
          <w:szCs w:val="22"/>
        </w:rPr>
        <w:t xml:space="preserve">Fumaroli, M., </w:t>
      </w:r>
      <w:r>
        <w:rPr>
          <w:i/>
          <w:iCs/>
          <w:sz w:val="22"/>
          <w:szCs w:val="22"/>
        </w:rPr>
        <w:t xml:space="preserve">Le Poète et le Roi: Jean de La Fontaine en son siècle</w:t>
      </w:r>
      <w:r>
        <w:rPr>
          <w:sz w:val="22"/>
          <w:szCs w:val="22"/>
        </w:rPr>
        <w:t xml:space="preserve">, Éditions de Fallois, Paris.</w:t>
      </w:r>
    </w:p>
    <w:p>
      <w:pPr>
        <w:spacing w:after="160" w:line="280"/>
        <w:ind w:left="431" w:hanging="431"/>
        <w:jc w:val="both"/>
      </w:pPr>
      <w:r>
        <w:rPr>
          <w:sz w:val="22"/>
          <w:szCs w:val="22"/>
        </w:rPr>
        <w:t xml:space="preserve">Gutwirth, M., </w:t>
      </w:r>
      <w:r>
        <w:rPr>
          <w:i/>
          <w:iCs/>
          <w:sz w:val="22"/>
          <w:szCs w:val="22"/>
        </w:rPr>
        <w:t xml:space="preserve">Un merveilleux sans éclat: La Fontaine ou la poésie exilée</w:t>
      </w:r>
      <w:r>
        <w:rPr>
          <w:sz w:val="22"/>
          <w:szCs w:val="22"/>
        </w:rPr>
        <w:t xml:space="preserve">, Droz, Genève.</w:t>
      </w:r>
    </w:p>
    <w:p>
      <w:pPr>
        <w:spacing w:after="160" w:line="280"/>
        <w:ind w:left="431" w:hanging="431"/>
        <w:jc w:val="both"/>
      </w:pPr>
      <w:r>
        <w:rPr>
          <w:sz w:val="22"/>
          <w:szCs w:val="22"/>
        </w:rPr>
        <w:t xml:space="preserve">Slater, M., </w:t>
      </w:r>
      <w:r>
        <w:rPr>
          <w:i/>
          <w:iCs/>
          <w:sz w:val="22"/>
          <w:szCs w:val="22"/>
        </w:rPr>
        <w:t xml:space="preserve">The Craft of La Fontaine</w:t>
      </w:r>
      <w:r>
        <w:rPr>
          <w:sz w:val="22"/>
          <w:szCs w:val="22"/>
        </w:rPr>
        <w:t xml:space="preserve">, Zeno, London.</w:t>
      </w:r>
    </w:p>
    <w:sectPr>
      <w:pgSz w:w="11906" w:h="16838" w:orient="portrait"/>
      <w:pgMar w:top="1134" w:right="1417"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2026-10-26T17:27:46.598Z</dcterms:created>
  <dcterms:modified xsi:type="dcterms:W3CDTF">2026-10-26T17:27:46.598Z</dcterms:modified>
</cp:coreProperties>
</file>

<file path=docProps/custom.xml><?xml version="1.0" encoding="utf-8"?>
<Properties xmlns="http://schemas.openxmlformats.org/officeDocument/2006/custom-properties" xmlns:vt="http://schemas.openxmlformats.org/officeDocument/2006/docPropsVTypes"/>
</file>